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2C0" w:rsidRPr="00FC4987" w:rsidRDefault="002719DB" w:rsidP="00CA62C0">
      <w:pPr>
        <w:ind w:left="426"/>
        <w:jc w:val="both"/>
        <w:rPr>
          <w:b/>
        </w:rPr>
      </w:pPr>
      <w:r>
        <w:rPr>
          <w:b/>
        </w:rPr>
        <w:t>Część</w:t>
      </w:r>
      <w:bookmarkStart w:id="0" w:name="_GoBack"/>
      <w:bookmarkEnd w:id="0"/>
      <w:r w:rsidR="00CA62C0" w:rsidRPr="00FC4987">
        <w:rPr>
          <w:b/>
        </w:rPr>
        <w:t xml:space="preserve"> IV: Opracowanie koncepcji architektonicznej budowy terminala odpraw granicznych w drogowym przejściu granicznym Bobrowniki – Bierestowica,</w:t>
      </w:r>
    </w:p>
    <w:p w:rsidR="00CA62C0" w:rsidRDefault="00CA62C0" w:rsidP="00CA62C0">
      <w:pPr>
        <w:ind w:left="426"/>
        <w:jc w:val="both"/>
      </w:pPr>
    </w:p>
    <w:p w:rsidR="00CA62C0" w:rsidRPr="001428F9" w:rsidRDefault="00CA62C0" w:rsidP="00CA62C0">
      <w:pPr>
        <w:pStyle w:val="Bezodstpw"/>
        <w:ind w:left="426"/>
        <w:jc w:val="both"/>
      </w:pPr>
      <w:r w:rsidRPr="001428F9">
        <w:t>Opracowanie koncepcji architektonicznej, która będzie zawierała niezbędne informacje do opracowania dokumentacji projektowo-kosztorysowej budowy terminala odpraw granicznych.</w:t>
      </w:r>
    </w:p>
    <w:p w:rsidR="00CA62C0" w:rsidRPr="001428F9" w:rsidRDefault="00CA62C0" w:rsidP="00CA62C0">
      <w:pPr>
        <w:pStyle w:val="Bezodstpw"/>
        <w:ind w:left="426"/>
        <w:jc w:val="both"/>
      </w:pPr>
      <w:r w:rsidRPr="001428F9">
        <w:t>Założenia:</w:t>
      </w:r>
    </w:p>
    <w:p w:rsidR="00CA62C0" w:rsidRPr="001428F9" w:rsidRDefault="00CA62C0" w:rsidP="00CA62C0">
      <w:pPr>
        <w:pStyle w:val="Bezodstpw"/>
        <w:ind w:left="426"/>
        <w:jc w:val="both"/>
      </w:pPr>
      <w:r w:rsidRPr="001428F9">
        <w:t>Rekomendowane rozwiązania według Wariantu Ia oraz III – zgodnie z Protokołem grupy posiedzenia roboczej</w:t>
      </w:r>
      <w:r>
        <w:t xml:space="preserve"> </w:t>
      </w:r>
      <w:r w:rsidRPr="001428F9">
        <w:t>do spraw opracowania Koncepcji  budowy i rozbudowy terminali odpraw samochodów ciężarowych w drogowych przejściach granicznych, z dnia 9 marca 2022 r.:</w:t>
      </w:r>
    </w:p>
    <w:p w:rsidR="00CA62C0" w:rsidRPr="001428F9" w:rsidRDefault="00CA62C0" w:rsidP="00CA62C0">
      <w:pPr>
        <w:pStyle w:val="Bezodstpw"/>
        <w:numPr>
          <w:ilvl w:val="0"/>
          <w:numId w:val="1"/>
        </w:numPr>
        <w:jc w:val="both"/>
      </w:pPr>
      <w:r w:rsidRPr="001428F9">
        <w:t>Terminal zlokalizowany będzie na obszarze ok. 32 ha, położonych na południe od DK65 bezpośrednio przed miejscowością Bobrowniki – wariant Ia oraz III.</w:t>
      </w:r>
    </w:p>
    <w:p w:rsidR="00CA62C0" w:rsidRPr="001428F9" w:rsidRDefault="00CA62C0" w:rsidP="00CA62C0">
      <w:pPr>
        <w:pStyle w:val="Bezodstpw"/>
        <w:numPr>
          <w:ilvl w:val="0"/>
          <w:numId w:val="1"/>
        </w:numPr>
        <w:jc w:val="both"/>
      </w:pPr>
      <w:r w:rsidRPr="001428F9">
        <w:t>Terminal składał się będzie z dwóch oddzielnych platform: północnej na kierunku wjazdowym do Polski – jako terminal Przywozowy o powierzchni ok. 13 ha oraz południowo wschodniej na kierunku wyjazdowym z Polski – jako terminal Wywozowy o powierzchni ok. 19-20 ha – wariant Ia oraz III.</w:t>
      </w:r>
    </w:p>
    <w:p w:rsidR="00CA62C0" w:rsidRPr="001428F9" w:rsidRDefault="00CA62C0" w:rsidP="00CA62C0">
      <w:pPr>
        <w:pStyle w:val="Bezodstpw"/>
        <w:numPr>
          <w:ilvl w:val="0"/>
          <w:numId w:val="1"/>
        </w:numPr>
        <w:jc w:val="both"/>
      </w:pPr>
      <w:r w:rsidRPr="001428F9">
        <w:t>Na obszarze nowo wybudowanego terminala będzie wykonywana kontrola celna, fitosanitarna oraz sanitarna  pojazdów ciężarowych – Wariant III.</w:t>
      </w:r>
    </w:p>
    <w:p w:rsidR="00CA62C0" w:rsidRPr="001428F9" w:rsidRDefault="00CA62C0" w:rsidP="00CA62C0">
      <w:pPr>
        <w:pStyle w:val="Bezodstpw"/>
        <w:numPr>
          <w:ilvl w:val="0"/>
          <w:numId w:val="1"/>
        </w:numPr>
        <w:jc w:val="both"/>
      </w:pPr>
      <w:r w:rsidRPr="001428F9">
        <w:t>Należy rozważyć oraz przeprowadzić analizę rozszerzenia zakresu ruchu w przejściu o kontrolę weterynaryjną – Wariant Ia</w:t>
      </w:r>
    </w:p>
    <w:p w:rsidR="00CA62C0" w:rsidRPr="001428F9" w:rsidRDefault="00CA62C0" w:rsidP="00CA62C0">
      <w:pPr>
        <w:pStyle w:val="Bezodstpw"/>
        <w:numPr>
          <w:ilvl w:val="0"/>
          <w:numId w:val="1"/>
        </w:numPr>
        <w:jc w:val="both"/>
      </w:pPr>
      <w:r w:rsidRPr="001428F9">
        <w:t>Droga krajowa nr 65 prowadząca do obecnie istniejącego drogowego przejścia granicznego od miejsca wjazdu/wyjazdu z nowego terminala zostanie podzielona na dwie równoległe dwukierunkowe jezdnie: północną – przeznaczoną dla samochodów osobowych i autobusów oraz południową stanowiąca ogrodzoną drogę celną dla samochodów ciężarowych – Wariant Ia</w:t>
      </w:r>
    </w:p>
    <w:p w:rsidR="00CA62C0" w:rsidRPr="001428F9" w:rsidRDefault="00CA62C0" w:rsidP="00CA62C0">
      <w:pPr>
        <w:pStyle w:val="Bezodstpw"/>
        <w:numPr>
          <w:ilvl w:val="0"/>
          <w:numId w:val="1"/>
        </w:numPr>
        <w:jc w:val="both"/>
      </w:pPr>
      <w:r w:rsidRPr="001428F9">
        <w:t>Pomiędzy płytami terminala zlokalizowana byłaby wydzielona droga dla samochodów ciężarowych i autobusów prowadząca aż do istniejącego przejścia granicznego. Obie platformy odpraw celnych oraz droga dla samochodów osobowych i autobusów od proponowanego ronda z drogą krajową nr 65 powinny być objęte zasięgiem terytorialnym przejścia granicznego, a organizacja ruchu dostosowana do potrzeb kontroli – Wariant III.</w:t>
      </w:r>
    </w:p>
    <w:p w:rsidR="00CA62C0" w:rsidRPr="001428F9" w:rsidRDefault="00CA62C0" w:rsidP="00CA62C0">
      <w:pPr>
        <w:pStyle w:val="Bezodstpw"/>
        <w:numPr>
          <w:ilvl w:val="0"/>
          <w:numId w:val="1"/>
        </w:numPr>
        <w:jc w:val="both"/>
      </w:pPr>
      <w:r w:rsidRPr="001428F9">
        <w:t>Teren obecnie istniejącego przejścia granicznego zostanie podzielony na dwie części. Osią podziału będzie znajdujący się na przejściu granicznym budynek główny. Odprawa graniczna samochodów ciężarowych w obydwu kierunkach będzie odbywać się na obecnej platformie wyjazdowej z RP (południowej) samochodów osobowych i ciężarowych. Odprawa graniczna samochodów osobowych i autobusów w obydwu kierunkach będzie odbywać się na obecnej platformie wjazdowej do RP (północnej) samochodów osobowych i ciężarowych. Powyższe rozwiązanie wiąże się z przeprowadzeniem stosownej przebudowy infrastruktury istniejącego przejścia granicznego  – Wariant Ia.</w:t>
      </w:r>
    </w:p>
    <w:p w:rsidR="00CA62C0" w:rsidRPr="001428F9" w:rsidRDefault="00CA62C0" w:rsidP="00CA62C0">
      <w:pPr>
        <w:pStyle w:val="Bezodstpw"/>
        <w:numPr>
          <w:ilvl w:val="0"/>
          <w:numId w:val="1"/>
        </w:numPr>
        <w:jc w:val="both"/>
      </w:pPr>
      <w:r w:rsidRPr="001428F9">
        <w:t>Kontrola graniczna samochodów ciężarowych odbywałaby się na istniejących platformach przejścia granicznego. Kontrola graniczna i celna samochodów osobowych i autobusów odbywałaby się na dotychczasowych zasadach w istniejącym przejściu – Wariant III.</w:t>
      </w:r>
    </w:p>
    <w:p w:rsidR="00CA62C0" w:rsidRPr="001428F9" w:rsidRDefault="00CA62C0" w:rsidP="00CA62C0">
      <w:pPr>
        <w:pStyle w:val="Bezodstpw"/>
        <w:numPr>
          <w:ilvl w:val="0"/>
          <w:numId w:val="1"/>
        </w:numPr>
        <w:jc w:val="both"/>
      </w:pPr>
      <w:r w:rsidRPr="001428F9">
        <w:t>Wjazd na most oraz wyjazd z niego dla wszystkich kategorii pojazdów będzie zorganizowany za pomocą systemu ruchomych zapór lub ronda – wariant Ia oraz Wariant III.</w:t>
      </w:r>
    </w:p>
    <w:p w:rsidR="00CA62C0" w:rsidRPr="001428F9" w:rsidRDefault="00CA62C0" w:rsidP="00CA62C0">
      <w:pPr>
        <w:pStyle w:val="Bezodstpw"/>
        <w:numPr>
          <w:ilvl w:val="0"/>
          <w:numId w:val="1"/>
        </w:numPr>
        <w:jc w:val="both"/>
      </w:pPr>
      <w:r w:rsidRPr="001428F9">
        <w:lastRenderedPageBreak/>
        <w:t>Docelowo przewidzieć należy, że ruch pojazdów ciężarowych z platformy południowej zostanie skierowany na drugi most na rzece Świsłocz, który powinien być zlokalizowany na południe od obecnie istniejącego mostu – Wariant Ia oraz Wariant III.</w:t>
      </w:r>
    </w:p>
    <w:p w:rsidR="00CA62C0" w:rsidRPr="001428F9" w:rsidRDefault="00CA62C0" w:rsidP="00CA62C0">
      <w:pPr>
        <w:pStyle w:val="Bezodstpw"/>
        <w:numPr>
          <w:ilvl w:val="0"/>
          <w:numId w:val="1"/>
        </w:numPr>
        <w:jc w:val="both"/>
      </w:pPr>
      <w:r w:rsidRPr="001428F9">
        <w:t>Koncepcja uwzględniać powinna nową organizację ruchu na drogach publicznych wokół terminalu – Wariant Ia oraz Wariant III.</w:t>
      </w:r>
    </w:p>
    <w:p w:rsidR="00CA62C0" w:rsidRPr="001428F9" w:rsidRDefault="00CA62C0" w:rsidP="00CA62C0">
      <w:pPr>
        <w:pStyle w:val="Bezodstpw"/>
        <w:numPr>
          <w:ilvl w:val="0"/>
          <w:numId w:val="1"/>
        </w:numPr>
        <w:jc w:val="both"/>
      </w:pPr>
      <w:r w:rsidRPr="001428F9">
        <w:t>Wybór optymalnego wariantu nastąpi na podstawie analizy ujętej w koncepcji.</w:t>
      </w:r>
    </w:p>
    <w:p w:rsidR="0041192A" w:rsidRDefault="0041192A"/>
    <w:sectPr w:rsidR="004119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06282E"/>
    <w:multiLevelType w:val="hybridMultilevel"/>
    <w:tmpl w:val="E17AB9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F3A"/>
    <w:rsid w:val="001C2F3A"/>
    <w:rsid w:val="002719DB"/>
    <w:rsid w:val="0041192A"/>
    <w:rsid w:val="00CA6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92198"/>
  <w15:chartTrackingRefBased/>
  <w15:docId w15:val="{C6126E7C-7069-4A94-8C04-A51BE4821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62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A62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505</Words>
  <Characters>3032</Characters>
  <Application>Microsoft Office Word</Application>
  <DocSecurity>0</DocSecurity>
  <Lines>25</Lines>
  <Paragraphs>7</Paragraphs>
  <ScaleCrop>false</ScaleCrop>
  <Company>Podlaski Urząd Wojewódzki</Company>
  <LinksUpToDate>false</LinksUpToDate>
  <CharactersWithSpaces>3530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Perkowski Piotr</dc:creator>
  <cp:keywords/>
  <dc:description/>
  <cp:lastModifiedBy>Perkowski Piotr</cp:lastModifiedBy>
  <cp:revision>3</cp:revision>
  <dcterms:created xsi:type="dcterms:W3CDTF">2022-11-10T09:30:00Z</dcterms:created>
  <dcterms:modified xsi:type="dcterms:W3CDTF">2022-11-21T09:18:00Z</dcterms:modified>
</cp:coreProperties>
</file>